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E40F" w14:textId="18A8266B" w:rsidR="00C72E33" w:rsidRDefault="00B51507" w:rsidP="00952FD3">
      <w:pPr>
        <w:spacing w:before="120" w:after="24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B51507">
        <w:rPr>
          <w:rFonts w:ascii="Century Gothic" w:hAnsi="Century Gothic"/>
          <w:b/>
          <w:sz w:val="24"/>
          <w:szCs w:val="24"/>
        </w:rPr>
        <w:t>W pandemii firmy broniły się przed niepewnością na rynku walutowym</w:t>
      </w:r>
    </w:p>
    <w:p w14:paraId="23796160" w14:textId="05D704D9" w:rsidR="006320C8" w:rsidRPr="00A75E33" w:rsidRDefault="00607725" w:rsidP="002C7F29">
      <w:pPr>
        <w:spacing w:before="120" w:line="276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607725">
        <w:rPr>
          <w:rFonts w:ascii="Century Gothic" w:hAnsi="Century Gothic" w:cs="Times New Roman"/>
          <w:b/>
          <w:sz w:val="20"/>
          <w:szCs w:val="20"/>
        </w:rPr>
        <w:t>Rok 2020 upłynął pod znakiem niepewności spowodowanej pande</w:t>
      </w:r>
      <w:r w:rsidR="00BA18F5">
        <w:rPr>
          <w:rFonts w:ascii="Century Gothic" w:hAnsi="Century Gothic" w:cs="Times New Roman"/>
          <w:b/>
          <w:sz w:val="20"/>
          <w:szCs w:val="20"/>
        </w:rPr>
        <w:t>mią Covid-19.</w:t>
      </w:r>
      <w:r w:rsidR="007C035F">
        <w:rPr>
          <w:rFonts w:ascii="Century Gothic" w:hAnsi="Century Gothic" w:cs="Times New Roman"/>
          <w:b/>
          <w:sz w:val="20"/>
          <w:szCs w:val="20"/>
        </w:rPr>
        <w:t xml:space="preserve"> Jej wpływ widoczny był także na rynku walutowym, którego wysoka zmienność skłaniała </w:t>
      </w:r>
      <w:r w:rsidR="00BA18F5">
        <w:rPr>
          <w:rFonts w:ascii="Century Gothic" w:hAnsi="Century Gothic" w:cs="Times New Roman"/>
          <w:b/>
          <w:sz w:val="20"/>
          <w:szCs w:val="20"/>
        </w:rPr>
        <w:t>przedsiębiorców do szukania oszczędności i możliwości zabezpieczenia swoich transakcji</w:t>
      </w:r>
      <w:r w:rsidR="007C035F">
        <w:rPr>
          <w:rFonts w:ascii="Century Gothic" w:hAnsi="Century Gothic" w:cs="Times New Roman"/>
          <w:b/>
          <w:sz w:val="20"/>
          <w:szCs w:val="20"/>
        </w:rPr>
        <w:t xml:space="preserve"> międzynarodowych</w:t>
      </w:r>
      <w:r w:rsidR="00BA18F5">
        <w:rPr>
          <w:rFonts w:ascii="Century Gothic" w:hAnsi="Century Gothic" w:cs="Times New Roman"/>
          <w:b/>
          <w:sz w:val="20"/>
          <w:szCs w:val="20"/>
        </w:rPr>
        <w:t>.</w:t>
      </w:r>
      <w:r w:rsidR="007C035F">
        <w:rPr>
          <w:rFonts w:ascii="Century Gothic" w:hAnsi="Century Gothic" w:cs="Times New Roman"/>
          <w:b/>
          <w:sz w:val="20"/>
          <w:szCs w:val="20"/>
        </w:rPr>
        <w:t xml:space="preserve"> O tym</w:t>
      </w:r>
      <w:r w:rsidR="00E30C47">
        <w:rPr>
          <w:rFonts w:ascii="Century Gothic" w:hAnsi="Century Gothic" w:cs="Times New Roman"/>
          <w:b/>
          <w:sz w:val="20"/>
          <w:szCs w:val="20"/>
        </w:rPr>
        <w:t>,</w:t>
      </w:r>
      <w:r w:rsidR="007C035F">
        <w:rPr>
          <w:rFonts w:ascii="Century Gothic" w:hAnsi="Century Gothic" w:cs="Times New Roman"/>
          <w:b/>
          <w:sz w:val="20"/>
          <w:szCs w:val="20"/>
        </w:rPr>
        <w:t xml:space="preserve"> jak duże było to zainteresowanie świadczą wyniki podmiotów oferujących takie rozwiązania, jak m</w:t>
      </w:r>
      <w:r w:rsidR="00BA18F5">
        <w:rPr>
          <w:rFonts w:ascii="Century Gothic" w:hAnsi="Century Gothic" w:cs="Times New Roman"/>
          <w:b/>
          <w:sz w:val="20"/>
          <w:szCs w:val="20"/>
        </w:rPr>
        <w:t>iędzynarodow</w:t>
      </w:r>
      <w:r w:rsidR="007C035F">
        <w:rPr>
          <w:rFonts w:ascii="Century Gothic" w:hAnsi="Century Gothic" w:cs="Times New Roman"/>
          <w:b/>
          <w:sz w:val="20"/>
          <w:szCs w:val="20"/>
        </w:rPr>
        <w:t>a</w:t>
      </w:r>
      <w:r w:rsidR="00BA18F5">
        <w:rPr>
          <w:rFonts w:ascii="Century Gothic" w:hAnsi="Century Gothic" w:cs="Times New Roman"/>
          <w:b/>
          <w:sz w:val="20"/>
          <w:szCs w:val="20"/>
        </w:rPr>
        <w:t xml:space="preserve"> instytucj</w:t>
      </w:r>
      <w:r w:rsidR="007C035F">
        <w:rPr>
          <w:rFonts w:ascii="Century Gothic" w:hAnsi="Century Gothic" w:cs="Times New Roman"/>
          <w:b/>
          <w:sz w:val="20"/>
          <w:szCs w:val="20"/>
        </w:rPr>
        <w:t>a</w:t>
      </w:r>
      <w:r w:rsidR="00BA18F5">
        <w:rPr>
          <w:rFonts w:ascii="Century Gothic" w:hAnsi="Century Gothic" w:cs="Times New Roman"/>
          <w:b/>
          <w:sz w:val="20"/>
          <w:szCs w:val="20"/>
        </w:rPr>
        <w:t xml:space="preserve"> płatnicz</w:t>
      </w:r>
      <w:r w:rsidR="007C035F">
        <w:rPr>
          <w:rFonts w:ascii="Century Gothic" w:hAnsi="Century Gothic" w:cs="Times New Roman"/>
          <w:b/>
          <w:sz w:val="20"/>
          <w:szCs w:val="20"/>
        </w:rPr>
        <w:t>a</w:t>
      </w:r>
      <w:r w:rsidR="00BA18F5">
        <w:rPr>
          <w:rFonts w:ascii="Century Gothic" w:hAnsi="Century Gothic" w:cs="Times New Roman"/>
          <w:b/>
          <w:sz w:val="20"/>
          <w:szCs w:val="20"/>
        </w:rPr>
        <w:t xml:space="preserve"> A</w:t>
      </w:r>
      <w:r w:rsidR="00121D82">
        <w:rPr>
          <w:rFonts w:ascii="Century Gothic" w:hAnsi="Century Gothic" w:cs="Times New Roman"/>
          <w:b/>
          <w:sz w:val="20"/>
          <w:szCs w:val="20"/>
        </w:rPr>
        <w:t>kcenta</w:t>
      </w:r>
      <w:r w:rsidR="007C035F">
        <w:rPr>
          <w:rFonts w:ascii="Century Gothic" w:hAnsi="Century Gothic" w:cs="Times New Roman"/>
          <w:b/>
          <w:sz w:val="20"/>
          <w:szCs w:val="20"/>
        </w:rPr>
        <w:t xml:space="preserve">. W 2020 r. wielkość udzielonego przez nią zabezpieczenia na jej </w:t>
      </w:r>
      <w:bookmarkStart w:id="0" w:name="_GoBack"/>
      <w:bookmarkEnd w:id="0"/>
      <w:r w:rsidR="007C035F">
        <w:rPr>
          <w:rFonts w:ascii="Century Gothic" w:hAnsi="Century Gothic" w:cs="Times New Roman"/>
          <w:b/>
          <w:sz w:val="20"/>
          <w:szCs w:val="20"/>
        </w:rPr>
        <w:t xml:space="preserve">europejskich rynkach wzrosła dwukrotnie, </w:t>
      </w:r>
      <w:r w:rsidR="0097543C">
        <w:rPr>
          <w:rFonts w:ascii="Century Gothic" w:hAnsi="Century Gothic" w:cs="Times New Roman"/>
          <w:b/>
          <w:sz w:val="20"/>
          <w:szCs w:val="20"/>
        </w:rPr>
        <w:t>a w Polsce ponad 4,5-krotnie.</w:t>
      </w:r>
    </w:p>
    <w:p w14:paraId="7E4AA495" w14:textId="1D6610B5" w:rsidR="0097543C" w:rsidRDefault="00BA18F5" w:rsidP="00607725">
      <w:pPr>
        <w:spacing w:before="120"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</w:t>
      </w:r>
      <w:r w:rsidR="00121D82">
        <w:rPr>
          <w:rFonts w:ascii="Century Gothic" w:hAnsi="Century Gothic" w:cs="Times New Roman"/>
          <w:sz w:val="20"/>
          <w:szCs w:val="20"/>
        </w:rPr>
        <w:t>kcenta</w:t>
      </w:r>
      <w:r w:rsidR="00607725" w:rsidRPr="00607725">
        <w:rPr>
          <w:rFonts w:ascii="Century Gothic" w:hAnsi="Century Gothic" w:cs="Times New Roman"/>
          <w:sz w:val="20"/>
          <w:szCs w:val="20"/>
        </w:rPr>
        <w:t>, insty</w:t>
      </w:r>
      <w:r>
        <w:rPr>
          <w:rFonts w:ascii="Century Gothic" w:hAnsi="Century Gothic" w:cs="Times New Roman"/>
          <w:sz w:val="20"/>
          <w:szCs w:val="20"/>
        </w:rPr>
        <w:t>tucja płatnicza, która obsługuje</w:t>
      </w:r>
      <w:r w:rsidR="00607725" w:rsidRPr="00607725">
        <w:rPr>
          <w:rFonts w:ascii="Century Gothic" w:hAnsi="Century Gothic" w:cs="Times New Roman"/>
          <w:sz w:val="20"/>
          <w:szCs w:val="20"/>
        </w:rPr>
        <w:t xml:space="preserve"> płatności</w:t>
      </w:r>
      <w:r w:rsidR="0009124C">
        <w:rPr>
          <w:rFonts w:ascii="Century Gothic" w:hAnsi="Century Gothic" w:cs="Times New Roman"/>
          <w:sz w:val="20"/>
          <w:szCs w:val="20"/>
        </w:rPr>
        <w:t xml:space="preserve"> zagraniczne i operacje walutowe</w:t>
      </w:r>
      <w:r w:rsidR="00607725" w:rsidRPr="00607725">
        <w:rPr>
          <w:rFonts w:ascii="Century Gothic" w:hAnsi="Century Gothic" w:cs="Times New Roman"/>
          <w:sz w:val="20"/>
          <w:szCs w:val="20"/>
        </w:rPr>
        <w:t xml:space="preserve"> </w:t>
      </w:r>
      <w:r w:rsidR="0097543C">
        <w:rPr>
          <w:rFonts w:ascii="Century Gothic" w:hAnsi="Century Gothic" w:cs="Times New Roman"/>
          <w:sz w:val="20"/>
          <w:szCs w:val="20"/>
        </w:rPr>
        <w:t xml:space="preserve">firm, w tym głównie </w:t>
      </w:r>
      <w:r w:rsidR="00607725" w:rsidRPr="00607725">
        <w:rPr>
          <w:rFonts w:ascii="Century Gothic" w:hAnsi="Century Gothic" w:cs="Times New Roman"/>
          <w:sz w:val="20"/>
          <w:szCs w:val="20"/>
        </w:rPr>
        <w:t xml:space="preserve">eksporterów i importerów, odnotowała w 2020 roku </w:t>
      </w:r>
      <w:r>
        <w:rPr>
          <w:rFonts w:ascii="Century Gothic" w:hAnsi="Century Gothic" w:cs="Times New Roman"/>
          <w:sz w:val="20"/>
          <w:szCs w:val="20"/>
        </w:rPr>
        <w:t xml:space="preserve">zysk </w:t>
      </w:r>
      <w:r w:rsidR="00B51507">
        <w:rPr>
          <w:rFonts w:ascii="Century Gothic" w:hAnsi="Century Gothic" w:cs="Times New Roman"/>
          <w:sz w:val="20"/>
          <w:szCs w:val="20"/>
        </w:rPr>
        <w:t>netto w wysokości ponad 2,36 miliona</w:t>
      </w:r>
      <w:r>
        <w:rPr>
          <w:rFonts w:ascii="Century Gothic" w:hAnsi="Century Gothic" w:cs="Times New Roman"/>
          <w:sz w:val="20"/>
          <w:szCs w:val="20"/>
        </w:rPr>
        <w:t xml:space="preserve"> euro</w:t>
      </w:r>
      <w:r w:rsidR="00607725" w:rsidRPr="00607725">
        <w:rPr>
          <w:rFonts w:ascii="Century Gothic" w:hAnsi="Century Gothic" w:cs="Times New Roman"/>
          <w:sz w:val="20"/>
          <w:szCs w:val="20"/>
        </w:rPr>
        <w:t>. Dla swoich klientów, których liczba przekroczyła 42 </w:t>
      </w:r>
      <w:r w:rsidR="0097543C">
        <w:rPr>
          <w:rFonts w:ascii="Century Gothic" w:hAnsi="Century Gothic" w:cs="Times New Roman"/>
          <w:sz w:val="20"/>
          <w:szCs w:val="20"/>
        </w:rPr>
        <w:t xml:space="preserve">tys. </w:t>
      </w:r>
      <w:r w:rsidR="00AF00B9">
        <w:rPr>
          <w:rFonts w:ascii="Century Gothic" w:hAnsi="Century Gothic" w:cs="Times New Roman"/>
          <w:sz w:val="20"/>
          <w:szCs w:val="20"/>
        </w:rPr>
        <w:t>n</w:t>
      </w:r>
      <w:r w:rsidR="0097543C">
        <w:rPr>
          <w:rFonts w:ascii="Century Gothic" w:hAnsi="Century Gothic" w:cs="Times New Roman"/>
          <w:sz w:val="20"/>
          <w:szCs w:val="20"/>
        </w:rPr>
        <w:t>a wszystkich swoich siedmiu rynkach</w:t>
      </w:r>
      <w:r w:rsidR="00AF00B9">
        <w:rPr>
          <w:rFonts w:ascii="Century Gothic" w:hAnsi="Century Gothic" w:cs="Times New Roman"/>
          <w:sz w:val="20"/>
          <w:szCs w:val="20"/>
        </w:rPr>
        <w:t>,</w:t>
      </w:r>
      <w:r w:rsidR="00607725" w:rsidRPr="00607725">
        <w:rPr>
          <w:rFonts w:ascii="Century Gothic" w:hAnsi="Century Gothic" w:cs="Times New Roman"/>
          <w:sz w:val="20"/>
          <w:szCs w:val="20"/>
        </w:rPr>
        <w:t xml:space="preserve"> A</w:t>
      </w:r>
      <w:r w:rsidR="00121D82">
        <w:rPr>
          <w:rFonts w:ascii="Century Gothic" w:hAnsi="Century Gothic" w:cs="Times New Roman"/>
          <w:sz w:val="20"/>
          <w:szCs w:val="20"/>
        </w:rPr>
        <w:t>kcenta</w:t>
      </w:r>
      <w:r w:rsidR="00607725" w:rsidRPr="00607725">
        <w:rPr>
          <w:rFonts w:ascii="Century Gothic" w:hAnsi="Century Gothic" w:cs="Times New Roman"/>
          <w:sz w:val="20"/>
          <w:szCs w:val="20"/>
        </w:rPr>
        <w:t xml:space="preserve"> zrealizowała w ubiegły</w:t>
      </w:r>
      <w:r w:rsidR="00E75DA5">
        <w:rPr>
          <w:rFonts w:ascii="Century Gothic" w:hAnsi="Century Gothic" w:cs="Times New Roman"/>
          <w:sz w:val="20"/>
          <w:szCs w:val="20"/>
        </w:rPr>
        <w:t>m roku</w:t>
      </w:r>
      <w:r w:rsidR="00B51507">
        <w:rPr>
          <w:rFonts w:ascii="Century Gothic" w:hAnsi="Century Gothic" w:cs="Times New Roman"/>
          <w:sz w:val="20"/>
          <w:szCs w:val="20"/>
        </w:rPr>
        <w:t xml:space="preserve"> transakcje o wartości blisko 6,8</w:t>
      </w:r>
      <w:r w:rsidR="00E75DA5">
        <w:rPr>
          <w:rFonts w:ascii="Century Gothic" w:hAnsi="Century Gothic" w:cs="Times New Roman"/>
          <w:sz w:val="20"/>
          <w:szCs w:val="20"/>
        </w:rPr>
        <w:t xml:space="preserve"> miliarda euro</w:t>
      </w:r>
      <w:r w:rsidR="00607725" w:rsidRPr="00607725">
        <w:rPr>
          <w:rFonts w:ascii="Century Gothic" w:hAnsi="Century Gothic" w:cs="Times New Roman"/>
          <w:sz w:val="20"/>
          <w:szCs w:val="20"/>
        </w:rPr>
        <w:t xml:space="preserve">. Wyraźnie wzrosła również wielkość udzielonego </w:t>
      </w:r>
      <w:r w:rsidR="00E75DA5">
        <w:rPr>
          <w:rFonts w:ascii="Century Gothic" w:hAnsi="Century Gothic" w:cs="Times New Roman"/>
          <w:sz w:val="20"/>
          <w:szCs w:val="20"/>
        </w:rPr>
        <w:t xml:space="preserve">przez instytucję </w:t>
      </w:r>
      <w:r w:rsidR="00607725" w:rsidRPr="00607725">
        <w:rPr>
          <w:rFonts w:ascii="Century Gothic" w:hAnsi="Century Gothic" w:cs="Times New Roman"/>
          <w:sz w:val="20"/>
          <w:szCs w:val="20"/>
        </w:rPr>
        <w:t>zabezpieczenia</w:t>
      </w:r>
      <w:r w:rsidR="00E75DA5">
        <w:rPr>
          <w:rFonts w:ascii="Century Gothic" w:hAnsi="Century Gothic" w:cs="Times New Roman"/>
          <w:sz w:val="20"/>
          <w:szCs w:val="20"/>
        </w:rPr>
        <w:t xml:space="preserve"> -</w:t>
      </w:r>
      <w:r w:rsidR="00607725" w:rsidRPr="00607725">
        <w:rPr>
          <w:rFonts w:ascii="Century Gothic" w:hAnsi="Century Gothic" w:cs="Times New Roman"/>
          <w:sz w:val="20"/>
          <w:szCs w:val="20"/>
        </w:rPr>
        <w:t xml:space="preserve"> w skali roku ponad dwukrotnie.</w:t>
      </w:r>
    </w:p>
    <w:p w14:paraId="76881BAC" w14:textId="3518E5A7" w:rsidR="00E75DA5" w:rsidRDefault="00E260CF" w:rsidP="00607725">
      <w:pPr>
        <w:spacing w:before="120"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i/>
          <w:iCs/>
          <w:sz w:val="20"/>
          <w:szCs w:val="20"/>
        </w:rPr>
        <w:t>- Rok 2020 był niewątpliwie</w:t>
      </w:r>
      <w:r w:rsidRPr="00607725">
        <w:rPr>
          <w:rFonts w:ascii="Century Gothic" w:hAnsi="Century Gothic" w:cs="Times New Roman"/>
          <w:i/>
          <w:iCs/>
          <w:sz w:val="20"/>
          <w:szCs w:val="20"/>
        </w:rPr>
        <w:t xml:space="preserve"> </w:t>
      </w:r>
      <w:r>
        <w:rPr>
          <w:rFonts w:ascii="Century Gothic" w:hAnsi="Century Gothic" w:cs="Times New Roman"/>
          <w:i/>
          <w:iCs/>
          <w:sz w:val="20"/>
          <w:szCs w:val="20"/>
        </w:rPr>
        <w:t>bezprecedensowy. W czasie pandemii biznes musiał zmierzyć się</w:t>
      </w:r>
      <w:r w:rsidRPr="00607725">
        <w:rPr>
          <w:rFonts w:ascii="Century Gothic" w:hAnsi="Century Gothic" w:cs="Times New Roman"/>
          <w:i/>
          <w:iCs/>
          <w:sz w:val="20"/>
          <w:szCs w:val="20"/>
        </w:rPr>
        <w:t xml:space="preserve"> </w:t>
      </w:r>
      <w:r>
        <w:rPr>
          <w:rFonts w:ascii="Century Gothic" w:hAnsi="Century Gothic" w:cs="Times New Roman"/>
          <w:i/>
          <w:iCs/>
          <w:sz w:val="20"/>
          <w:szCs w:val="20"/>
        </w:rPr>
        <w:t>z ogromną niepewnością. W ślad za nią szła nieprzewidywalność notowań walut.</w:t>
      </w:r>
      <w:r w:rsidRPr="00607725">
        <w:rPr>
          <w:rFonts w:ascii="Century Gothic" w:hAnsi="Century Gothic" w:cs="Times New Roman"/>
          <w:i/>
          <w:iCs/>
          <w:sz w:val="20"/>
          <w:szCs w:val="20"/>
        </w:rPr>
        <w:t xml:space="preserve"> </w:t>
      </w:r>
      <w:r>
        <w:rPr>
          <w:rFonts w:ascii="Century Gothic" w:hAnsi="Century Gothic" w:cs="Times New Roman"/>
          <w:i/>
          <w:iCs/>
          <w:sz w:val="20"/>
          <w:szCs w:val="20"/>
        </w:rPr>
        <w:t xml:space="preserve">Tak jak się spodziewaliśmy, </w:t>
      </w:r>
      <w:r w:rsidRPr="00607725">
        <w:rPr>
          <w:rFonts w:ascii="Century Gothic" w:hAnsi="Century Gothic" w:cs="Times New Roman"/>
          <w:i/>
          <w:iCs/>
          <w:sz w:val="20"/>
          <w:szCs w:val="20"/>
        </w:rPr>
        <w:t xml:space="preserve">zmienność </w:t>
      </w:r>
      <w:r>
        <w:rPr>
          <w:rFonts w:ascii="Century Gothic" w:hAnsi="Century Gothic" w:cs="Times New Roman"/>
          <w:i/>
          <w:iCs/>
          <w:sz w:val="20"/>
          <w:szCs w:val="20"/>
        </w:rPr>
        <w:t xml:space="preserve">na tym rynku </w:t>
      </w:r>
      <w:r w:rsidRPr="00607725">
        <w:rPr>
          <w:rFonts w:ascii="Century Gothic" w:hAnsi="Century Gothic" w:cs="Times New Roman"/>
          <w:i/>
          <w:iCs/>
          <w:sz w:val="20"/>
          <w:szCs w:val="20"/>
        </w:rPr>
        <w:t>w dużym stopniu zwiększyła zainteresowanie instrumentami zabezpieczającymi</w:t>
      </w:r>
      <w:r>
        <w:rPr>
          <w:rFonts w:ascii="Century Gothic" w:hAnsi="Century Gothic" w:cs="Times New Roman"/>
          <w:i/>
          <w:iCs/>
          <w:sz w:val="20"/>
          <w:szCs w:val="20"/>
        </w:rPr>
        <w:t xml:space="preserve"> transakcje walutowe. Dzięki dobremu przygotowaniu i</w:t>
      </w:r>
      <w:r w:rsidRPr="00607725">
        <w:rPr>
          <w:rFonts w:ascii="Century Gothic" w:hAnsi="Century Gothic" w:cs="Times New Roman"/>
          <w:i/>
          <w:iCs/>
          <w:sz w:val="20"/>
          <w:szCs w:val="20"/>
        </w:rPr>
        <w:t xml:space="preserve"> </w:t>
      </w:r>
      <w:r>
        <w:rPr>
          <w:rFonts w:ascii="Century Gothic" w:hAnsi="Century Gothic" w:cs="Times New Roman"/>
          <w:i/>
          <w:iCs/>
          <w:sz w:val="20"/>
          <w:szCs w:val="20"/>
        </w:rPr>
        <w:t>doświadczeniu mogliśmy w tych trudnych czasach odpowiedzieć na potrzeby przedsiębiorców w tej sferze i zapewnić ochronę ich marż przed wpływem wahań. W 2020 r. udało nam się w ten sposób zabezpieczyć dwukrotnie wyższy wolumen transakcji niż w 2019 r. Większe z</w:t>
      </w:r>
      <w:r w:rsidRPr="00607725">
        <w:rPr>
          <w:rFonts w:ascii="Century Gothic" w:hAnsi="Century Gothic" w:cs="Times New Roman"/>
          <w:i/>
          <w:iCs/>
          <w:sz w:val="20"/>
          <w:szCs w:val="20"/>
        </w:rPr>
        <w:t>ai</w:t>
      </w:r>
      <w:r w:rsidR="00143BD7">
        <w:rPr>
          <w:rFonts w:ascii="Century Gothic" w:hAnsi="Century Gothic" w:cs="Times New Roman"/>
          <w:i/>
          <w:iCs/>
          <w:sz w:val="20"/>
          <w:szCs w:val="20"/>
        </w:rPr>
        <w:t>nteresowanie klientów narzędziami</w:t>
      </w:r>
      <w:r>
        <w:rPr>
          <w:rFonts w:ascii="Century Gothic" w:hAnsi="Century Gothic" w:cs="Times New Roman"/>
          <w:i/>
          <w:iCs/>
          <w:sz w:val="20"/>
          <w:szCs w:val="20"/>
        </w:rPr>
        <w:t xml:space="preserve"> eliminującymi ryzyko walutowe oraz ofertą transferów międzynarodowych przyczyniły się do dalszej ekspansji naszej firmy i przyniosły</w:t>
      </w:r>
      <w:r w:rsidRPr="00607725">
        <w:rPr>
          <w:rFonts w:ascii="Century Gothic" w:hAnsi="Century Gothic" w:cs="Times New Roman"/>
          <w:i/>
          <w:iCs/>
          <w:sz w:val="20"/>
          <w:szCs w:val="20"/>
        </w:rPr>
        <w:t xml:space="preserve"> A</w:t>
      </w:r>
      <w:r w:rsidR="00121D82">
        <w:rPr>
          <w:rFonts w:ascii="Century Gothic" w:hAnsi="Century Gothic" w:cs="Times New Roman"/>
          <w:i/>
          <w:iCs/>
          <w:sz w:val="20"/>
          <w:szCs w:val="20"/>
        </w:rPr>
        <w:t>kcencie</w:t>
      </w:r>
      <w:r w:rsidRPr="00607725">
        <w:rPr>
          <w:rFonts w:ascii="Century Gothic" w:hAnsi="Century Gothic" w:cs="Times New Roman"/>
          <w:i/>
          <w:iCs/>
          <w:sz w:val="20"/>
          <w:szCs w:val="20"/>
        </w:rPr>
        <w:t xml:space="preserve"> najbardziej udany</w:t>
      </w:r>
      <w:r>
        <w:rPr>
          <w:rFonts w:ascii="Century Gothic" w:hAnsi="Century Gothic" w:cs="Times New Roman"/>
          <w:i/>
          <w:iCs/>
          <w:sz w:val="20"/>
          <w:szCs w:val="20"/>
        </w:rPr>
        <w:t xml:space="preserve"> rok</w:t>
      </w:r>
      <w:r w:rsidRPr="00607725">
        <w:rPr>
          <w:rFonts w:ascii="Century Gothic" w:hAnsi="Century Gothic" w:cs="Times New Roman"/>
          <w:i/>
          <w:iCs/>
          <w:sz w:val="20"/>
          <w:szCs w:val="20"/>
        </w:rPr>
        <w:t xml:space="preserve"> </w:t>
      </w:r>
      <w:r>
        <w:rPr>
          <w:rFonts w:ascii="Century Gothic" w:hAnsi="Century Gothic" w:cs="Times New Roman"/>
          <w:i/>
          <w:iCs/>
          <w:sz w:val="20"/>
          <w:szCs w:val="20"/>
        </w:rPr>
        <w:t xml:space="preserve">w jej ponad 20-letniej historii </w:t>
      </w:r>
      <w:r w:rsidRPr="00BA18F5">
        <w:rPr>
          <w:rFonts w:ascii="Century Gothic" w:hAnsi="Century Gothic" w:cs="Times New Roman"/>
          <w:iCs/>
          <w:sz w:val="20"/>
          <w:szCs w:val="20"/>
        </w:rPr>
        <w:t xml:space="preserve">– </w:t>
      </w:r>
      <w:r>
        <w:rPr>
          <w:rFonts w:ascii="Century Gothic" w:hAnsi="Century Gothic" w:cs="Times New Roman"/>
          <w:iCs/>
          <w:sz w:val="20"/>
          <w:szCs w:val="20"/>
        </w:rPr>
        <w:t>komentuje</w:t>
      </w:r>
      <w:r w:rsidRPr="00BA18F5">
        <w:rPr>
          <w:rFonts w:ascii="Century Gothic" w:hAnsi="Century Gothic" w:cs="Times New Roman"/>
          <w:sz w:val="20"/>
          <w:szCs w:val="20"/>
        </w:rPr>
        <w:t xml:space="preserve"> Prezes </w:t>
      </w:r>
      <w:r w:rsidR="00717CFE">
        <w:rPr>
          <w:rFonts w:ascii="Century Gothic" w:hAnsi="Century Gothic" w:cs="Times New Roman"/>
          <w:sz w:val="20"/>
          <w:szCs w:val="20"/>
        </w:rPr>
        <w:t>Zarządu A</w:t>
      </w:r>
      <w:r w:rsidR="00121D82">
        <w:rPr>
          <w:rFonts w:ascii="Century Gothic" w:hAnsi="Century Gothic" w:cs="Times New Roman"/>
          <w:sz w:val="20"/>
          <w:szCs w:val="20"/>
        </w:rPr>
        <w:t>kcenty</w:t>
      </w:r>
      <w:r w:rsidRPr="00607725">
        <w:rPr>
          <w:rFonts w:ascii="Century Gothic" w:hAnsi="Century Gothic" w:cs="Times New Roman"/>
          <w:sz w:val="20"/>
          <w:szCs w:val="20"/>
        </w:rPr>
        <w:t xml:space="preserve"> Milan </w:t>
      </w:r>
      <w:proofErr w:type="spellStart"/>
      <w:r w:rsidRPr="00607725">
        <w:rPr>
          <w:rFonts w:ascii="Century Gothic" w:hAnsi="Century Gothic" w:cs="Times New Roman"/>
          <w:sz w:val="20"/>
          <w:szCs w:val="20"/>
        </w:rPr>
        <w:t>Cerman</w:t>
      </w:r>
      <w:proofErr w:type="spellEnd"/>
      <w:r>
        <w:rPr>
          <w:rFonts w:ascii="Century Gothic" w:hAnsi="Century Gothic" w:cs="Times New Roman"/>
          <w:sz w:val="20"/>
          <w:szCs w:val="20"/>
        </w:rPr>
        <w:t>.</w:t>
      </w:r>
    </w:p>
    <w:p w14:paraId="6B4AD326" w14:textId="632F7128" w:rsidR="00717CFE" w:rsidRPr="00543203" w:rsidRDefault="00717CFE" w:rsidP="00607725">
      <w:pPr>
        <w:spacing w:before="120" w:line="276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543203">
        <w:rPr>
          <w:rFonts w:ascii="Century Gothic" w:hAnsi="Century Gothic" w:cs="Times New Roman"/>
          <w:b/>
          <w:sz w:val="20"/>
          <w:szCs w:val="20"/>
        </w:rPr>
        <w:t xml:space="preserve">Polskie firmy nie chcą tracić na </w:t>
      </w:r>
      <w:r w:rsidR="00143BD7" w:rsidRPr="00717CFE">
        <w:rPr>
          <w:rFonts w:ascii="Century Gothic" w:hAnsi="Century Gothic" w:cs="Times New Roman"/>
          <w:b/>
          <w:sz w:val="20"/>
          <w:szCs w:val="20"/>
        </w:rPr>
        <w:t>pandemii</w:t>
      </w:r>
    </w:p>
    <w:p w14:paraId="06246E3A" w14:textId="75330CD9" w:rsidR="00EE5410" w:rsidRDefault="00717CFE" w:rsidP="00607725">
      <w:pPr>
        <w:spacing w:before="120"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Na polskim rynku Akcenta również zanotowała bardzo dobre wyniki. W skali roku liczba zabezpieczanych przez nią transakcji wzrosła 3-krotnie. </w:t>
      </w:r>
      <w:r w:rsidR="00EE5410">
        <w:rPr>
          <w:rFonts w:ascii="Century Gothic" w:hAnsi="Century Gothic" w:cs="Times New Roman"/>
          <w:sz w:val="20"/>
          <w:szCs w:val="20"/>
        </w:rPr>
        <w:t>Najbardziej spektakularn</w:t>
      </w:r>
      <w:r w:rsidR="00B91794">
        <w:rPr>
          <w:rFonts w:ascii="Century Gothic" w:hAnsi="Century Gothic" w:cs="Times New Roman"/>
          <w:sz w:val="20"/>
          <w:szCs w:val="20"/>
        </w:rPr>
        <w:t>e</w:t>
      </w:r>
      <w:r w:rsidR="00EE5410">
        <w:rPr>
          <w:rFonts w:ascii="Century Gothic" w:hAnsi="Century Gothic" w:cs="Times New Roman"/>
          <w:sz w:val="20"/>
          <w:szCs w:val="20"/>
        </w:rPr>
        <w:t xml:space="preserve"> był</w:t>
      </w:r>
      <w:r w:rsidR="00B91794">
        <w:rPr>
          <w:rFonts w:ascii="Century Gothic" w:hAnsi="Century Gothic" w:cs="Times New Roman"/>
          <w:sz w:val="20"/>
          <w:szCs w:val="20"/>
        </w:rPr>
        <w:t>o</w:t>
      </w:r>
      <w:r w:rsidR="00EE5410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 xml:space="preserve">jednak </w:t>
      </w:r>
      <w:r w:rsidR="00EE5410">
        <w:rPr>
          <w:rFonts w:ascii="Century Gothic" w:hAnsi="Century Gothic" w:cs="Times New Roman"/>
          <w:sz w:val="20"/>
          <w:szCs w:val="20"/>
        </w:rPr>
        <w:t>aż ponad 4,5-krotne</w:t>
      </w:r>
      <w:r>
        <w:rPr>
          <w:rFonts w:ascii="Century Gothic" w:hAnsi="Century Gothic" w:cs="Times New Roman"/>
          <w:sz w:val="20"/>
          <w:szCs w:val="20"/>
        </w:rPr>
        <w:t xml:space="preserve"> zwiększenie </w:t>
      </w:r>
      <w:r w:rsidR="00EE5410">
        <w:rPr>
          <w:rFonts w:ascii="Century Gothic" w:hAnsi="Century Gothic" w:cs="Times New Roman"/>
          <w:sz w:val="20"/>
          <w:szCs w:val="20"/>
        </w:rPr>
        <w:t>ich wolumenu.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="00EE5410">
        <w:rPr>
          <w:rFonts w:ascii="Century Gothic" w:hAnsi="Century Gothic" w:cs="Times New Roman"/>
          <w:sz w:val="20"/>
          <w:szCs w:val="20"/>
        </w:rPr>
        <w:t>Przedsiębiorcy świadomi nieuniknionego wpływu pandemii na notowania kursów walut dużo chętniej sięgali po narzędzia eliminujące ryzyko kursowe, jak transakcje terminowe czy opcje</w:t>
      </w:r>
      <w:r w:rsidR="00B1307A">
        <w:rPr>
          <w:rFonts w:ascii="Century Gothic" w:hAnsi="Century Gothic" w:cs="Times New Roman"/>
          <w:sz w:val="20"/>
          <w:szCs w:val="20"/>
        </w:rPr>
        <w:t xml:space="preserve"> walutowe</w:t>
      </w:r>
      <w:r w:rsidR="00EE5410">
        <w:rPr>
          <w:rFonts w:ascii="Century Gothic" w:hAnsi="Century Gothic" w:cs="Times New Roman"/>
          <w:sz w:val="20"/>
          <w:szCs w:val="20"/>
        </w:rPr>
        <w:t xml:space="preserve">. Rozwiązanie, takie jak np. transakcja </w:t>
      </w:r>
      <w:r w:rsidR="006C25BD">
        <w:rPr>
          <w:rFonts w:ascii="Century Gothic" w:hAnsi="Century Gothic" w:cs="Times New Roman"/>
          <w:sz w:val="20"/>
          <w:szCs w:val="20"/>
        </w:rPr>
        <w:t xml:space="preserve">terminowa typu </w:t>
      </w:r>
      <w:r w:rsidR="00EE5410">
        <w:rPr>
          <w:rFonts w:ascii="Century Gothic" w:hAnsi="Century Gothic" w:cs="Times New Roman"/>
          <w:sz w:val="20"/>
          <w:szCs w:val="20"/>
        </w:rPr>
        <w:t>forward, daje bowiem firmie pew</w:t>
      </w:r>
      <w:r w:rsidR="006C25BD">
        <w:rPr>
          <w:rFonts w:ascii="Century Gothic" w:hAnsi="Century Gothic" w:cs="Times New Roman"/>
          <w:sz w:val="20"/>
          <w:szCs w:val="20"/>
        </w:rPr>
        <w:t xml:space="preserve">ność co do przyszłych wpływów z rozliczanych w innej walucie </w:t>
      </w:r>
      <w:r w:rsidR="00EE5410">
        <w:rPr>
          <w:rFonts w:ascii="Century Gothic" w:hAnsi="Century Gothic" w:cs="Times New Roman"/>
          <w:sz w:val="20"/>
          <w:szCs w:val="20"/>
        </w:rPr>
        <w:t xml:space="preserve">kontraktów. </w:t>
      </w:r>
      <w:r w:rsidR="00DA67F1">
        <w:rPr>
          <w:rFonts w:ascii="Century Gothic" w:hAnsi="Century Gothic" w:cs="Times New Roman"/>
          <w:sz w:val="20"/>
          <w:szCs w:val="20"/>
        </w:rPr>
        <w:t>Jak tłumaczą eksperci A</w:t>
      </w:r>
      <w:r w:rsidR="00B34FA7">
        <w:rPr>
          <w:rFonts w:ascii="Century Gothic" w:hAnsi="Century Gothic" w:cs="Times New Roman"/>
          <w:sz w:val="20"/>
          <w:szCs w:val="20"/>
        </w:rPr>
        <w:t>kcenty</w:t>
      </w:r>
      <w:r w:rsidR="00DA67F1">
        <w:rPr>
          <w:rFonts w:ascii="Century Gothic" w:hAnsi="Century Gothic" w:cs="Times New Roman"/>
          <w:sz w:val="20"/>
          <w:szCs w:val="20"/>
        </w:rPr>
        <w:t>, z</w:t>
      </w:r>
      <w:r w:rsidR="00EE5410">
        <w:rPr>
          <w:rFonts w:ascii="Century Gothic" w:hAnsi="Century Gothic" w:cs="Times New Roman"/>
          <w:sz w:val="20"/>
          <w:szCs w:val="20"/>
        </w:rPr>
        <w:t xml:space="preserve"> pomocą tego narzędzia przedsiębiorstwo może zamrozić do czasu jego realizacji kurs</w:t>
      </w:r>
      <w:r w:rsidR="00B91794">
        <w:rPr>
          <w:rFonts w:ascii="Century Gothic" w:hAnsi="Century Gothic" w:cs="Times New Roman"/>
          <w:sz w:val="20"/>
          <w:szCs w:val="20"/>
        </w:rPr>
        <w:t>,</w:t>
      </w:r>
      <w:r w:rsidR="00EE5410">
        <w:rPr>
          <w:rFonts w:ascii="Century Gothic" w:hAnsi="Century Gothic" w:cs="Times New Roman"/>
          <w:sz w:val="20"/>
          <w:szCs w:val="20"/>
        </w:rPr>
        <w:t xml:space="preserve"> po którym dokona przewalutowania</w:t>
      </w:r>
      <w:r w:rsidR="006C25BD">
        <w:rPr>
          <w:rFonts w:ascii="Century Gothic" w:hAnsi="Century Gothic" w:cs="Times New Roman"/>
          <w:sz w:val="20"/>
          <w:szCs w:val="20"/>
        </w:rPr>
        <w:t xml:space="preserve"> określonej w umowie kwoty</w:t>
      </w:r>
      <w:r w:rsidR="00EE5410">
        <w:rPr>
          <w:rFonts w:ascii="Century Gothic" w:hAnsi="Century Gothic" w:cs="Times New Roman"/>
          <w:sz w:val="20"/>
          <w:szCs w:val="20"/>
        </w:rPr>
        <w:t xml:space="preserve">. </w:t>
      </w:r>
      <w:r w:rsidR="006C25BD">
        <w:rPr>
          <w:rFonts w:ascii="Century Gothic" w:hAnsi="Century Gothic" w:cs="Times New Roman"/>
          <w:sz w:val="20"/>
          <w:szCs w:val="20"/>
        </w:rPr>
        <w:t>Przy czym zawarcie takiej transakcji</w:t>
      </w:r>
      <w:r w:rsidR="00EE5410">
        <w:rPr>
          <w:rFonts w:ascii="Century Gothic" w:hAnsi="Century Gothic" w:cs="Times New Roman"/>
          <w:sz w:val="20"/>
          <w:szCs w:val="20"/>
        </w:rPr>
        <w:t xml:space="preserve"> z </w:t>
      </w:r>
      <w:r w:rsidR="00B91794">
        <w:rPr>
          <w:rFonts w:ascii="Century Gothic" w:hAnsi="Century Gothic" w:cs="Times New Roman"/>
          <w:sz w:val="20"/>
          <w:szCs w:val="20"/>
        </w:rPr>
        <w:t xml:space="preserve">instytucją </w:t>
      </w:r>
      <w:r w:rsidR="00EE5410">
        <w:rPr>
          <w:rFonts w:ascii="Century Gothic" w:hAnsi="Century Gothic" w:cs="Times New Roman"/>
          <w:sz w:val="20"/>
          <w:szCs w:val="20"/>
        </w:rPr>
        <w:t>płatniczą jest darmowe i nie wiąże się z koniecznością zapłaty</w:t>
      </w:r>
      <w:r w:rsidR="006C25BD">
        <w:rPr>
          <w:rFonts w:ascii="Century Gothic" w:hAnsi="Century Gothic" w:cs="Times New Roman"/>
          <w:sz w:val="20"/>
          <w:szCs w:val="20"/>
        </w:rPr>
        <w:t xml:space="preserve"> prowizji czy ponoszenia dodatkowych </w:t>
      </w:r>
      <w:r w:rsidR="00EE5410">
        <w:rPr>
          <w:rFonts w:ascii="Century Gothic" w:hAnsi="Century Gothic" w:cs="Times New Roman"/>
          <w:sz w:val="20"/>
          <w:szCs w:val="20"/>
        </w:rPr>
        <w:t xml:space="preserve">kosztów. To rozwiązanie szczególnie popularne w sektorze MŚP ze względu na swoją bezkosztowość, prostotę i </w:t>
      </w:r>
      <w:r w:rsidR="00DA67F1">
        <w:rPr>
          <w:rFonts w:ascii="Century Gothic" w:hAnsi="Century Gothic" w:cs="Times New Roman"/>
          <w:sz w:val="20"/>
          <w:szCs w:val="20"/>
        </w:rPr>
        <w:t>dostępność.</w:t>
      </w:r>
    </w:p>
    <w:p w14:paraId="48F91AFD" w14:textId="77777777" w:rsidR="006C25BD" w:rsidRPr="00543203" w:rsidRDefault="006C25BD" w:rsidP="00607725">
      <w:pPr>
        <w:spacing w:before="120" w:line="276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543203">
        <w:rPr>
          <w:rFonts w:ascii="Century Gothic" w:hAnsi="Century Gothic" w:cs="Times New Roman"/>
          <w:b/>
          <w:sz w:val="20"/>
          <w:szCs w:val="20"/>
        </w:rPr>
        <w:t>Przyszłość wciąż niepewna</w:t>
      </w:r>
    </w:p>
    <w:p w14:paraId="049AD413" w14:textId="1CBB3725" w:rsidR="002F449E" w:rsidRDefault="00B37685" w:rsidP="006C25BD">
      <w:pPr>
        <w:spacing w:before="120"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- </w:t>
      </w:r>
      <w:r w:rsidRPr="00B37685">
        <w:rPr>
          <w:rFonts w:ascii="Century Gothic" w:hAnsi="Century Gothic" w:cs="Times New Roman"/>
          <w:i/>
          <w:sz w:val="20"/>
          <w:szCs w:val="20"/>
        </w:rPr>
        <w:t>S</w:t>
      </w:r>
      <w:r w:rsidR="002F449E" w:rsidRPr="00B37685">
        <w:rPr>
          <w:rFonts w:ascii="Century Gothic" w:hAnsi="Century Gothic" w:cs="Times New Roman"/>
          <w:i/>
          <w:sz w:val="20"/>
          <w:szCs w:val="20"/>
        </w:rPr>
        <w:t xml:space="preserve">zczepienia dają biznesowi nadzieję na stabilizację sytuacji związanej z pandemią Covid-19. Nadal jednak jest to dłuższa perspektywa i nie można wykluczyć niespodziewanych wydarzeń, </w:t>
      </w:r>
      <w:r w:rsidR="002F449E" w:rsidRPr="00B37685">
        <w:rPr>
          <w:rFonts w:ascii="Century Gothic" w:hAnsi="Century Gothic" w:cs="Times New Roman"/>
          <w:i/>
          <w:sz w:val="20"/>
          <w:szCs w:val="20"/>
        </w:rPr>
        <w:lastRenderedPageBreak/>
        <w:t>związanych chociażby z mutacjami wirusa. Niepewność będzie zatem towarzyszyła przed</w:t>
      </w:r>
      <w:r w:rsidRPr="00B37685">
        <w:rPr>
          <w:rFonts w:ascii="Century Gothic" w:hAnsi="Century Gothic" w:cs="Times New Roman"/>
          <w:i/>
          <w:sz w:val="20"/>
          <w:szCs w:val="20"/>
        </w:rPr>
        <w:t xml:space="preserve">siębiorcom jeszcze </w:t>
      </w:r>
      <w:r>
        <w:rPr>
          <w:rFonts w:ascii="Century Gothic" w:hAnsi="Century Gothic" w:cs="Times New Roman"/>
          <w:i/>
          <w:sz w:val="20"/>
          <w:szCs w:val="20"/>
        </w:rPr>
        <w:t xml:space="preserve">przez </w:t>
      </w:r>
      <w:r w:rsidRPr="00B37685">
        <w:rPr>
          <w:rFonts w:ascii="Century Gothic" w:hAnsi="Century Gothic" w:cs="Times New Roman"/>
          <w:i/>
          <w:sz w:val="20"/>
          <w:szCs w:val="20"/>
        </w:rPr>
        <w:t>dłuższy czas</w:t>
      </w:r>
      <w:r>
        <w:rPr>
          <w:rFonts w:ascii="Century Gothic" w:hAnsi="Century Gothic" w:cs="Times New Roman"/>
          <w:sz w:val="20"/>
          <w:szCs w:val="20"/>
        </w:rPr>
        <w:t xml:space="preserve"> - </w:t>
      </w:r>
      <w:r w:rsidRPr="00B37685">
        <w:rPr>
          <w:rFonts w:ascii="Century Gothic" w:hAnsi="Century Gothic" w:cs="Times New Roman"/>
          <w:sz w:val="20"/>
          <w:szCs w:val="20"/>
        </w:rPr>
        <w:t>wskazuje analityk Akcenty, Miroslav Novák</w:t>
      </w:r>
      <w:r>
        <w:rPr>
          <w:rFonts w:ascii="Century Gothic" w:hAnsi="Century Gothic" w:cs="Times New Roman"/>
          <w:sz w:val="20"/>
          <w:szCs w:val="20"/>
        </w:rPr>
        <w:t>.</w:t>
      </w:r>
    </w:p>
    <w:p w14:paraId="2FAAC0AA" w14:textId="306B3ACA" w:rsidR="006C25BD" w:rsidRDefault="002F449E" w:rsidP="006C25BD">
      <w:pPr>
        <w:spacing w:before="120"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Zdaniem </w:t>
      </w:r>
      <w:r w:rsidR="00B37685">
        <w:rPr>
          <w:rFonts w:ascii="Century Gothic" w:hAnsi="Century Gothic" w:cs="Times New Roman"/>
          <w:sz w:val="20"/>
          <w:szCs w:val="20"/>
        </w:rPr>
        <w:t xml:space="preserve">analityka Akcenty </w:t>
      </w:r>
      <w:r>
        <w:rPr>
          <w:rFonts w:ascii="Century Gothic" w:hAnsi="Century Gothic" w:cs="Times New Roman"/>
          <w:sz w:val="20"/>
          <w:szCs w:val="20"/>
        </w:rPr>
        <w:t>najbardziej prawdopodobnym</w:t>
      </w:r>
      <w:r w:rsidR="006C25BD" w:rsidRPr="006C25BD">
        <w:rPr>
          <w:rFonts w:ascii="Century Gothic" w:hAnsi="Century Gothic" w:cs="Times New Roman"/>
          <w:sz w:val="20"/>
          <w:szCs w:val="20"/>
        </w:rPr>
        <w:t xml:space="preserve"> scenariuszem jest umocnienie </w:t>
      </w:r>
      <w:r>
        <w:rPr>
          <w:rFonts w:ascii="Century Gothic" w:hAnsi="Century Gothic" w:cs="Times New Roman"/>
          <w:sz w:val="20"/>
          <w:szCs w:val="20"/>
        </w:rPr>
        <w:t xml:space="preserve">się </w:t>
      </w:r>
      <w:r w:rsidR="006C25BD" w:rsidRPr="006C25BD">
        <w:rPr>
          <w:rFonts w:ascii="Century Gothic" w:hAnsi="Century Gothic" w:cs="Times New Roman"/>
          <w:sz w:val="20"/>
          <w:szCs w:val="20"/>
        </w:rPr>
        <w:t>złotego w perspek</w:t>
      </w:r>
      <w:r>
        <w:rPr>
          <w:rFonts w:ascii="Century Gothic" w:hAnsi="Century Gothic" w:cs="Times New Roman"/>
          <w:sz w:val="20"/>
          <w:szCs w:val="20"/>
        </w:rPr>
        <w:t>tywie naj</w:t>
      </w:r>
      <w:r w:rsidR="00B37685">
        <w:rPr>
          <w:rFonts w:ascii="Century Gothic" w:hAnsi="Century Gothic" w:cs="Times New Roman"/>
          <w:sz w:val="20"/>
          <w:szCs w:val="20"/>
        </w:rPr>
        <w:t xml:space="preserve">bliższych 12 miesięcy. Ekspert </w:t>
      </w:r>
      <w:r>
        <w:rPr>
          <w:rFonts w:ascii="Century Gothic" w:hAnsi="Century Gothic" w:cs="Times New Roman"/>
          <w:sz w:val="20"/>
          <w:szCs w:val="20"/>
        </w:rPr>
        <w:t>spodziewa się także</w:t>
      </w:r>
      <w:r w:rsidR="006C25BD" w:rsidRPr="006C25BD">
        <w:rPr>
          <w:rFonts w:ascii="Century Gothic" w:hAnsi="Century Gothic" w:cs="Times New Roman"/>
          <w:sz w:val="20"/>
          <w:szCs w:val="20"/>
        </w:rPr>
        <w:t xml:space="preserve"> silnego ożywienia gospodarczego w Polsce w drugim kwartale i drugi</w:t>
      </w:r>
      <w:r>
        <w:rPr>
          <w:rFonts w:ascii="Century Gothic" w:hAnsi="Century Gothic" w:cs="Times New Roman"/>
          <w:sz w:val="20"/>
          <w:szCs w:val="20"/>
        </w:rPr>
        <w:t xml:space="preserve">ej połowie roku. Na notowania złotego wpłynąć mogą jednak jeszcze decyzje Rady Polityki Pieniężnej. </w:t>
      </w:r>
      <w:r w:rsidR="006C25BD" w:rsidRPr="006C25BD">
        <w:rPr>
          <w:rFonts w:ascii="Century Gothic" w:hAnsi="Century Gothic" w:cs="Times New Roman"/>
          <w:sz w:val="20"/>
          <w:szCs w:val="20"/>
        </w:rPr>
        <w:t>W związku z przyspieszającą inflacją konsumencką rośn</w:t>
      </w:r>
      <w:r w:rsidR="00541D6D">
        <w:rPr>
          <w:rFonts w:ascii="Century Gothic" w:hAnsi="Century Gothic" w:cs="Times New Roman"/>
          <w:sz w:val="20"/>
          <w:szCs w:val="20"/>
        </w:rPr>
        <w:t>ie prawdopodobieństwo, że RPP</w:t>
      </w:r>
      <w:r w:rsidR="006C25BD" w:rsidRPr="006C25BD">
        <w:rPr>
          <w:rFonts w:ascii="Century Gothic" w:hAnsi="Century Gothic" w:cs="Times New Roman"/>
          <w:sz w:val="20"/>
          <w:szCs w:val="20"/>
        </w:rPr>
        <w:t xml:space="preserve"> pozwoli na głębsze umocnienie złotego poniżej 4,50</w:t>
      </w:r>
      <w:r w:rsidR="00541D6D">
        <w:rPr>
          <w:rFonts w:ascii="Century Gothic" w:hAnsi="Century Gothic" w:cs="Times New Roman"/>
          <w:sz w:val="20"/>
          <w:szCs w:val="20"/>
        </w:rPr>
        <w:t xml:space="preserve"> EUR/PLN</w:t>
      </w:r>
      <w:r w:rsidR="006C25BD" w:rsidRPr="006C25BD">
        <w:rPr>
          <w:rFonts w:ascii="Century Gothic" w:hAnsi="Century Gothic" w:cs="Times New Roman"/>
          <w:sz w:val="20"/>
          <w:szCs w:val="20"/>
        </w:rPr>
        <w:t xml:space="preserve">. </w:t>
      </w:r>
    </w:p>
    <w:p w14:paraId="37DE4C01" w14:textId="692EA312" w:rsidR="007246CB" w:rsidRPr="00A75E33" w:rsidRDefault="00541D6D" w:rsidP="00DE453B">
      <w:pPr>
        <w:spacing w:before="120"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Eksperci Akcenty zwracają przy tym uwagę, że bez względu na to</w:t>
      </w:r>
      <w:r w:rsidR="00B91794">
        <w:rPr>
          <w:rFonts w:ascii="Century Gothic" w:hAnsi="Century Gothic" w:cs="Times New Roman"/>
          <w:sz w:val="20"/>
          <w:szCs w:val="20"/>
        </w:rPr>
        <w:t>,</w:t>
      </w:r>
      <w:r>
        <w:rPr>
          <w:rFonts w:ascii="Century Gothic" w:hAnsi="Century Gothic" w:cs="Times New Roman"/>
          <w:sz w:val="20"/>
          <w:szCs w:val="20"/>
        </w:rPr>
        <w:t xml:space="preserve"> czy czasy są stabilne</w:t>
      </w:r>
      <w:r w:rsidR="00B91794">
        <w:rPr>
          <w:rFonts w:ascii="Century Gothic" w:hAnsi="Century Gothic" w:cs="Times New Roman"/>
          <w:sz w:val="20"/>
          <w:szCs w:val="20"/>
        </w:rPr>
        <w:t>,</w:t>
      </w:r>
      <w:r>
        <w:rPr>
          <w:rFonts w:ascii="Century Gothic" w:hAnsi="Century Gothic" w:cs="Times New Roman"/>
          <w:sz w:val="20"/>
          <w:szCs w:val="20"/>
        </w:rPr>
        <w:t xml:space="preserve"> czy mamy do czynienia z kryzysem, zabezpieczanie kontraktów przed ryzykiem kursowym powinno być stałym elementem operacji finansowych firm rozliczających się w różnych walutach. To instrument, który daje firmom pewność co do kwot i możliwość łatwiejszego planowania. A co najważniejsze</w:t>
      </w:r>
      <w:r w:rsidR="004D6C11">
        <w:rPr>
          <w:rFonts w:ascii="Century Gothic" w:hAnsi="Century Gothic" w:cs="Times New Roman"/>
          <w:sz w:val="20"/>
          <w:szCs w:val="20"/>
        </w:rPr>
        <w:t>,</w:t>
      </w:r>
      <w:r>
        <w:rPr>
          <w:rFonts w:ascii="Century Gothic" w:hAnsi="Century Gothic" w:cs="Times New Roman"/>
          <w:sz w:val="20"/>
          <w:szCs w:val="20"/>
        </w:rPr>
        <w:t xml:space="preserve"> chroni na wypadek nagłych i niemożliwych do zaplanowania zmian na rynku, jaki</w:t>
      </w:r>
      <w:r w:rsidR="004D6C11">
        <w:rPr>
          <w:rFonts w:ascii="Century Gothic" w:hAnsi="Century Gothic" w:cs="Times New Roman"/>
          <w:sz w:val="20"/>
          <w:szCs w:val="20"/>
        </w:rPr>
        <w:t>ch</w:t>
      </w:r>
      <w:r>
        <w:rPr>
          <w:rFonts w:ascii="Century Gothic" w:hAnsi="Century Gothic" w:cs="Times New Roman"/>
          <w:sz w:val="20"/>
          <w:szCs w:val="20"/>
        </w:rPr>
        <w:t xml:space="preserve"> przykładem było chociażby pojawienie się koronawirusa.</w:t>
      </w:r>
    </w:p>
    <w:p w14:paraId="57C1BB8A" w14:textId="77777777" w:rsidR="00F0358D" w:rsidRPr="00A75E33" w:rsidRDefault="00F0358D" w:rsidP="00F0358D">
      <w:pPr>
        <w:spacing w:before="120" w:line="360" w:lineRule="auto"/>
        <w:jc w:val="center"/>
        <w:rPr>
          <w:rFonts w:ascii="Century Gothic" w:hAnsi="Century Gothic" w:cs="Times New Roman"/>
        </w:rPr>
      </w:pPr>
      <w:r w:rsidRPr="00A75E33">
        <w:rPr>
          <w:rFonts w:ascii="Century Gothic" w:hAnsi="Century Gothic" w:cs="Times New Roman"/>
        </w:rPr>
        <w:t>***</w:t>
      </w:r>
    </w:p>
    <w:p w14:paraId="3E4472A0" w14:textId="77777777" w:rsidR="00F0358D" w:rsidRPr="00A75E33" w:rsidRDefault="00F0358D" w:rsidP="00F0358D">
      <w:pPr>
        <w:spacing w:before="120"/>
        <w:jc w:val="both"/>
        <w:rPr>
          <w:rFonts w:ascii="Century Gothic" w:hAnsi="Century Gothic" w:cs="Times New Roman"/>
          <w:sz w:val="18"/>
          <w:lang w:eastAsia="pl-PL"/>
        </w:rPr>
      </w:pPr>
      <w:r w:rsidRPr="00A75E33">
        <w:rPr>
          <w:rFonts w:ascii="Century Gothic" w:hAnsi="Century Gothic" w:cs="Times New Roman"/>
          <w:b/>
          <w:sz w:val="18"/>
          <w:lang w:eastAsia="pl-PL"/>
        </w:rPr>
        <w:t>AKCENTA</w:t>
      </w:r>
      <w:r w:rsidRPr="00A75E33">
        <w:rPr>
          <w:rFonts w:ascii="Century Gothic" w:hAnsi="Century Gothic" w:cs="Times New Roman"/>
          <w:sz w:val="18"/>
          <w:lang w:eastAsia="pl-PL"/>
        </w:rPr>
        <w:t xml:space="preserve"> to międzynarodowa instytucja płatnicza, oferująca </w:t>
      </w:r>
      <w:r w:rsidRPr="00A75E33">
        <w:rPr>
          <w:rFonts w:ascii="Century Gothic" w:hAnsi="Century Gothic" w:cs="Times New Roman"/>
          <w:b/>
          <w:sz w:val="18"/>
          <w:lang w:eastAsia="pl-PL"/>
        </w:rPr>
        <w:t>obsługę transakcji walutowych dla firm zajmujących się eksportem i importem</w:t>
      </w:r>
      <w:r w:rsidRPr="00A75E33">
        <w:rPr>
          <w:rFonts w:ascii="Century Gothic" w:hAnsi="Century Gothic" w:cs="Times New Roman"/>
          <w:sz w:val="18"/>
          <w:lang w:eastAsia="pl-PL"/>
        </w:rPr>
        <w:t xml:space="preserve">. </w:t>
      </w:r>
    </w:p>
    <w:p w14:paraId="62EE47A1" w14:textId="77777777" w:rsidR="00F0358D" w:rsidRPr="00A75E33" w:rsidRDefault="00F0358D" w:rsidP="00F0358D">
      <w:pPr>
        <w:spacing w:before="120"/>
        <w:jc w:val="both"/>
        <w:rPr>
          <w:rFonts w:ascii="Century Gothic" w:hAnsi="Century Gothic" w:cs="Times New Roman"/>
          <w:sz w:val="18"/>
          <w:lang w:eastAsia="pl-PL"/>
        </w:rPr>
      </w:pPr>
      <w:r w:rsidRPr="00A75E33">
        <w:rPr>
          <w:rFonts w:ascii="Century Gothic" w:hAnsi="Century Gothic" w:cs="Times New Roman"/>
          <w:b/>
          <w:sz w:val="18"/>
          <w:lang w:eastAsia="pl-PL"/>
        </w:rPr>
        <w:t>AKCENTA specjalizuje się w wymianie walut, realizacji płatności zagranicznych i transakcjach zabezpieczających kursy walut</w:t>
      </w:r>
      <w:r w:rsidRPr="00A75E33">
        <w:rPr>
          <w:rFonts w:ascii="Century Gothic" w:hAnsi="Century Gothic" w:cs="Times New Roman"/>
          <w:sz w:val="18"/>
          <w:lang w:eastAsia="pl-PL"/>
        </w:rPr>
        <w:t>. Przewagami AKCENTY wobec banków są bardzo dobre oferowane kursy walut, które każdy Klient może negocjować, niskie opłaty za przelewy międzynarodowe oraz bezpłatne rachunki. Przewagą AKCENTY wobec kantorów internetowych jest specjalizacja w kierunku obsługi firm i pełna oferta usług walutowych uwzględniających potrzeby przedsiębiorstw, w tym transakcje z rynku terminowego (</w:t>
      </w:r>
      <w:proofErr w:type="spellStart"/>
      <w:r w:rsidRPr="00A75E33">
        <w:rPr>
          <w:rFonts w:ascii="Century Gothic" w:hAnsi="Century Gothic" w:cs="Times New Roman"/>
          <w:sz w:val="18"/>
          <w:lang w:eastAsia="pl-PL"/>
        </w:rPr>
        <w:t>forwardy</w:t>
      </w:r>
      <w:proofErr w:type="spellEnd"/>
      <w:r w:rsidRPr="00A75E33">
        <w:rPr>
          <w:rFonts w:ascii="Century Gothic" w:hAnsi="Century Gothic" w:cs="Times New Roman"/>
          <w:sz w:val="18"/>
          <w:lang w:eastAsia="pl-PL"/>
        </w:rPr>
        <w:t>).</w:t>
      </w:r>
    </w:p>
    <w:p w14:paraId="6A3ECDB8" w14:textId="77777777" w:rsidR="00F0358D" w:rsidRPr="00A75E33" w:rsidRDefault="00F0358D" w:rsidP="00F0358D">
      <w:pPr>
        <w:spacing w:before="120"/>
        <w:jc w:val="both"/>
        <w:rPr>
          <w:rFonts w:ascii="Century Gothic" w:hAnsi="Century Gothic" w:cs="Times New Roman"/>
          <w:sz w:val="18"/>
          <w:lang w:eastAsia="pl-PL"/>
        </w:rPr>
      </w:pPr>
      <w:r w:rsidRPr="00A75E33">
        <w:rPr>
          <w:rFonts w:ascii="Century Gothic" w:hAnsi="Century Gothic" w:cs="Times New Roman"/>
          <w:sz w:val="18"/>
          <w:lang w:eastAsia="pl-PL"/>
        </w:rPr>
        <w:t>AKCENTA działa na rynkach finansowych od ponad</w:t>
      </w:r>
      <w:r w:rsidRPr="00A75E33">
        <w:rPr>
          <w:rFonts w:ascii="Century Gothic" w:hAnsi="Century Gothic" w:cs="Times New Roman"/>
          <w:b/>
          <w:sz w:val="18"/>
          <w:lang w:eastAsia="pl-PL"/>
        </w:rPr>
        <w:t xml:space="preserve"> 20 lat, obecnie w 7 krajach Europy</w:t>
      </w:r>
      <w:r w:rsidRPr="00A75E33">
        <w:rPr>
          <w:rFonts w:ascii="Century Gothic" w:hAnsi="Century Gothic" w:cs="Times New Roman"/>
          <w:sz w:val="18"/>
          <w:lang w:eastAsia="pl-PL"/>
        </w:rPr>
        <w:t xml:space="preserve">: w Czechach, Francji, Niemczech, Polsce, Rumunii oraz na Słowacji i Węgrzech. </w:t>
      </w:r>
      <w:r w:rsidRPr="00A75E33">
        <w:rPr>
          <w:rFonts w:ascii="Century Gothic" w:hAnsi="Century Gothic" w:cs="Arial"/>
          <w:b/>
          <w:sz w:val="18"/>
          <w:lang w:eastAsia="pl-PL"/>
        </w:rPr>
        <w:tab/>
      </w:r>
    </w:p>
    <w:p w14:paraId="0666EAB5" w14:textId="77777777" w:rsidR="00F0358D" w:rsidRPr="00A75E33" w:rsidRDefault="00F0358D" w:rsidP="00F0358D">
      <w:pPr>
        <w:spacing w:before="120"/>
        <w:jc w:val="both"/>
        <w:rPr>
          <w:rFonts w:ascii="Century Gothic" w:hAnsi="Century Gothic" w:cs="Times New Roman"/>
          <w:color w:val="0000FF"/>
          <w:sz w:val="18"/>
          <w:u w:val="single"/>
          <w:lang w:eastAsia="pl-PL"/>
        </w:rPr>
      </w:pPr>
      <w:r w:rsidRPr="00A75E33">
        <w:rPr>
          <w:rFonts w:ascii="Century Gothic" w:hAnsi="Century Gothic" w:cs="Times New Roman"/>
          <w:sz w:val="18"/>
          <w:lang w:eastAsia="pl-PL"/>
        </w:rPr>
        <w:t xml:space="preserve">Więcej informacji można znaleźć na stronie: </w:t>
      </w:r>
      <w:hyperlink r:id="rId8" w:history="1">
        <w:r w:rsidRPr="00A75E33">
          <w:rPr>
            <w:rStyle w:val="Hipercze"/>
            <w:rFonts w:ascii="Century Gothic" w:hAnsi="Century Gothic" w:cs="Times New Roman"/>
            <w:sz w:val="18"/>
            <w:lang w:eastAsia="pl-PL"/>
          </w:rPr>
          <w:t>http://www.akcenta.pl</w:t>
        </w:r>
      </w:hyperlink>
    </w:p>
    <w:p w14:paraId="3546D395" w14:textId="77777777" w:rsidR="00F0358D" w:rsidRPr="00A75E33" w:rsidRDefault="00F0358D" w:rsidP="00F0358D">
      <w:pPr>
        <w:spacing w:before="120"/>
        <w:jc w:val="both"/>
        <w:rPr>
          <w:rFonts w:ascii="Century Gothic" w:hAnsi="Century Gothic" w:cs="Times New Roman"/>
          <w:sz w:val="18"/>
          <w:lang w:eastAsia="pl-PL"/>
        </w:rPr>
      </w:pPr>
      <w:r w:rsidRPr="00A75E33">
        <w:rPr>
          <w:rFonts w:ascii="Century Gothic" w:hAnsi="Century Gothic" w:cs="Times New Roman"/>
          <w:sz w:val="18"/>
          <w:lang w:eastAsia="pl-PL"/>
        </w:rPr>
        <w:t>***</w:t>
      </w:r>
    </w:p>
    <w:p w14:paraId="792FCCF3" w14:textId="77777777" w:rsidR="00F0358D" w:rsidRPr="00A75E33" w:rsidRDefault="00F0358D" w:rsidP="00E15A33">
      <w:pPr>
        <w:spacing w:after="0" w:line="240" w:lineRule="auto"/>
        <w:jc w:val="both"/>
        <w:rPr>
          <w:rFonts w:asciiTheme="majorHAnsi" w:hAnsiTheme="majorHAnsi" w:cstheme="majorHAnsi"/>
          <w:b/>
          <w:lang w:eastAsia="pl-PL"/>
        </w:rPr>
      </w:pPr>
      <w:r w:rsidRPr="00A75E33">
        <w:rPr>
          <w:rFonts w:asciiTheme="majorHAnsi" w:hAnsiTheme="majorHAnsi" w:cstheme="majorHAnsi"/>
          <w:lang w:eastAsia="pl-PL"/>
        </w:rPr>
        <w:t>Kontakt dla mediów:</w:t>
      </w:r>
    </w:p>
    <w:p w14:paraId="39D66D9B" w14:textId="43E80E31" w:rsidR="00F0358D" w:rsidRPr="00A75E33" w:rsidRDefault="00607725" w:rsidP="00E15A33">
      <w:pPr>
        <w:spacing w:after="0" w:line="240" w:lineRule="auto"/>
        <w:rPr>
          <w:rFonts w:asciiTheme="majorHAnsi" w:hAnsiTheme="majorHAnsi" w:cstheme="majorHAnsi"/>
          <w:b/>
          <w:bCs/>
          <w:color w:val="EA1639"/>
          <w:lang w:eastAsia="pl-PL"/>
        </w:rPr>
      </w:pPr>
      <w:r>
        <w:rPr>
          <w:rFonts w:asciiTheme="majorHAnsi" w:hAnsiTheme="majorHAnsi" w:cstheme="majorHAnsi"/>
          <w:b/>
          <w:bCs/>
          <w:color w:val="EA1639"/>
          <w:lang w:eastAsia="pl-PL"/>
        </w:rPr>
        <w:t>Agnieszka S</w:t>
      </w:r>
      <w:r w:rsidR="00F0358D" w:rsidRPr="00A75E33">
        <w:rPr>
          <w:rFonts w:asciiTheme="majorHAnsi" w:hAnsiTheme="majorHAnsi" w:cstheme="majorHAnsi"/>
          <w:b/>
          <w:bCs/>
          <w:color w:val="EA1639"/>
          <w:lang w:eastAsia="pl-PL"/>
        </w:rPr>
        <w:t>mużewska</w:t>
      </w:r>
    </w:p>
    <w:p w14:paraId="7237995D" w14:textId="77777777" w:rsidR="00F0358D" w:rsidRPr="00A75E33" w:rsidRDefault="00F0358D" w:rsidP="00E15A33">
      <w:pPr>
        <w:spacing w:after="0" w:line="240" w:lineRule="auto"/>
        <w:rPr>
          <w:rFonts w:asciiTheme="majorHAnsi" w:hAnsiTheme="majorHAnsi" w:cstheme="majorHAnsi"/>
          <w:lang w:eastAsia="pl-PL"/>
        </w:rPr>
      </w:pPr>
      <w:r w:rsidRPr="00A75E33">
        <w:rPr>
          <w:rFonts w:asciiTheme="majorHAnsi" w:hAnsiTheme="majorHAnsi" w:cstheme="majorHAnsi"/>
          <w:b/>
          <w:bCs/>
          <w:color w:val="EA1639"/>
          <w:lang w:eastAsia="pl-PL"/>
        </w:rPr>
        <w:t>m:</w:t>
      </w:r>
      <w:r w:rsidRPr="00A75E33">
        <w:rPr>
          <w:rFonts w:asciiTheme="majorHAnsi" w:hAnsiTheme="majorHAnsi" w:cstheme="majorHAnsi"/>
          <w:color w:val="EA1639"/>
          <w:lang w:eastAsia="pl-PL"/>
        </w:rPr>
        <w:t xml:space="preserve"> </w:t>
      </w:r>
      <w:r w:rsidRPr="00A75E33">
        <w:rPr>
          <w:rFonts w:asciiTheme="majorHAnsi" w:hAnsiTheme="majorHAnsi" w:cstheme="majorHAnsi"/>
          <w:color w:val="808080"/>
          <w:lang w:eastAsia="pl-PL"/>
        </w:rPr>
        <w:t>+48 517 077 554</w:t>
      </w:r>
    </w:p>
    <w:p w14:paraId="517914E0" w14:textId="1F2AA57B" w:rsidR="00F0358D" w:rsidRPr="00EE128E" w:rsidRDefault="00F0358D" w:rsidP="00E15A33">
      <w:pPr>
        <w:spacing w:after="0" w:line="240" w:lineRule="auto"/>
        <w:rPr>
          <w:rFonts w:asciiTheme="majorHAnsi" w:hAnsiTheme="majorHAnsi" w:cstheme="majorHAnsi"/>
          <w:color w:val="767171"/>
          <w:lang w:val="de-DE" w:eastAsia="pl-PL"/>
        </w:rPr>
      </w:pPr>
      <w:r w:rsidRPr="00EE128E">
        <w:rPr>
          <w:rFonts w:asciiTheme="majorHAnsi" w:hAnsiTheme="majorHAnsi" w:cstheme="majorHAnsi"/>
          <w:b/>
          <w:bCs/>
          <w:color w:val="EA1639"/>
          <w:lang w:val="de-DE" w:eastAsia="pl-PL"/>
        </w:rPr>
        <w:t>e:</w:t>
      </w:r>
      <w:r w:rsidRPr="00EE128E">
        <w:rPr>
          <w:rFonts w:asciiTheme="majorHAnsi" w:hAnsiTheme="majorHAnsi" w:cstheme="majorHAnsi"/>
          <w:color w:val="EA1639"/>
          <w:lang w:val="de-DE" w:eastAsia="pl-PL"/>
        </w:rPr>
        <w:t xml:space="preserve"> </w:t>
      </w:r>
      <w:hyperlink r:id="rId9" w:history="1">
        <w:r w:rsidRPr="00EE128E">
          <w:rPr>
            <w:rStyle w:val="Hipercze"/>
            <w:rFonts w:asciiTheme="majorHAnsi" w:hAnsiTheme="majorHAnsi" w:cstheme="majorHAnsi"/>
            <w:color w:val="808080"/>
            <w:lang w:val="de-DE" w:eastAsia="pl-PL"/>
          </w:rPr>
          <w:t>agnieszka.smuzewska@zoom-bsc.pl</w:t>
        </w:r>
      </w:hyperlink>
    </w:p>
    <w:sectPr w:rsidR="00F0358D" w:rsidRPr="00EE12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FD493" w16cex:dateUtc="2021-02-11T15:06:00Z"/>
  <w16cex:commentExtensible w16cex:durableId="23CFD69F" w16cex:dateUtc="2021-02-11T1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CFA203" w16cid:durableId="23CFD493"/>
  <w16cid:commentId w16cid:paraId="423C082C" w16cid:durableId="23CFD6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3DC22" w14:textId="77777777" w:rsidR="00AA5CE5" w:rsidRDefault="00AA5CE5" w:rsidP="003B56EF">
      <w:pPr>
        <w:spacing w:after="0" w:line="240" w:lineRule="auto"/>
      </w:pPr>
      <w:r>
        <w:separator/>
      </w:r>
    </w:p>
  </w:endnote>
  <w:endnote w:type="continuationSeparator" w:id="0">
    <w:p w14:paraId="199DE140" w14:textId="77777777" w:rsidR="00AA5CE5" w:rsidRDefault="00AA5CE5" w:rsidP="003B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31AEF" w14:textId="77777777" w:rsidR="00AA5CE5" w:rsidRDefault="00AA5CE5" w:rsidP="003B56EF">
      <w:pPr>
        <w:spacing w:after="0" w:line="240" w:lineRule="auto"/>
      </w:pPr>
      <w:r>
        <w:separator/>
      </w:r>
    </w:p>
  </w:footnote>
  <w:footnote w:type="continuationSeparator" w:id="0">
    <w:p w14:paraId="603FC821" w14:textId="77777777" w:rsidR="00AA5CE5" w:rsidRDefault="00AA5CE5" w:rsidP="003B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A287D" w14:textId="77777777" w:rsidR="003B56EF" w:rsidRPr="00AA17CA" w:rsidRDefault="003B56EF" w:rsidP="003B56EF">
    <w:pPr>
      <w:tabs>
        <w:tab w:val="center" w:pos="4536"/>
        <w:tab w:val="right" w:pos="9072"/>
      </w:tabs>
      <w:spacing w:after="0" w:line="360" w:lineRule="auto"/>
      <w:jc w:val="both"/>
      <w:rPr>
        <w:rFonts w:ascii="Century Gothic" w:eastAsia="Times New Roman" w:hAnsi="Century Gothic" w:cs="Times New Roman"/>
        <w:b/>
        <w:lang w:val="cs-CZ" w:eastAsia="cs-CZ"/>
      </w:rPr>
    </w:pPr>
    <w:r w:rsidRPr="00AA17CA">
      <w:rPr>
        <w:rFonts w:ascii="Century Gothic" w:eastAsia="Times New Roman" w:hAnsi="Century Gothic" w:cs="Times New Roman"/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023A0BB3" wp14:editId="07DF95FE">
          <wp:simplePos x="0" y="0"/>
          <wp:positionH relativeFrom="column">
            <wp:posOffset>4021455</wp:posOffset>
          </wp:positionH>
          <wp:positionV relativeFrom="paragraph">
            <wp:posOffset>-76200</wp:posOffset>
          </wp:positionV>
          <wp:extent cx="1689100" cy="541020"/>
          <wp:effectExtent l="0" t="0" r="6350" b="0"/>
          <wp:wrapSquare wrapText="bothSides"/>
          <wp:docPr id="5" name="Obraz 5" descr="G:\Akcenta\8_Reklama\Materiały graficzne\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Akcenta\8_Reklama\Materiały graficzne\Logo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17CA">
      <w:rPr>
        <w:rFonts w:ascii="Century Gothic" w:eastAsia="Times New Roman" w:hAnsi="Century Gothic" w:cs="Times New Roman"/>
        <w:b/>
        <w:lang w:val="cs-CZ" w:eastAsia="cs-CZ"/>
      </w:rPr>
      <w:t xml:space="preserve">Informacja prasowa  </w:t>
    </w:r>
  </w:p>
  <w:p w14:paraId="6B70378D" w14:textId="68D4F122" w:rsidR="003B56EF" w:rsidRPr="00AA17CA" w:rsidRDefault="003B56EF" w:rsidP="003B56EF">
    <w:pPr>
      <w:tabs>
        <w:tab w:val="right" w:pos="9072"/>
      </w:tabs>
      <w:spacing w:after="0" w:line="360" w:lineRule="auto"/>
      <w:jc w:val="both"/>
      <w:rPr>
        <w:rFonts w:ascii="Century Gothic" w:eastAsia="Times New Roman" w:hAnsi="Century Gothic" w:cs="Times New Roman"/>
        <w:lang w:val="cs-CZ" w:eastAsia="cs-CZ"/>
      </w:rPr>
    </w:pPr>
    <w:r w:rsidRPr="00AA17CA">
      <w:rPr>
        <w:rFonts w:ascii="Century Gothic" w:eastAsia="Times New Roman" w:hAnsi="Century Gothic" w:cs="Times New Roman"/>
        <w:lang w:val="cs-CZ" w:eastAsia="cs-CZ"/>
      </w:rPr>
      <w:t xml:space="preserve">Warszawa, </w:t>
    </w:r>
    <w:r w:rsidR="006B4684">
      <w:rPr>
        <w:rFonts w:ascii="Century Gothic" w:eastAsia="Times New Roman" w:hAnsi="Century Gothic" w:cs="Times New Roman"/>
        <w:lang w:val="cs-CZ" w:eastAsia="cs-CZ"/>
      </w:rPr>
      <w:t>11</w:t>
    </w:r>
    <w:r w:rsidR="00B51507">
      <w:rPr>
        <w:rFonts w:ascii="Century Gothic" w:eastAsia="Times New Roman" w:hAnsi="Century Gothic" w:cs="Times New Roman"/>
        <w:lang w:val="cs-CZ" w:eastAsia="cs-CZ"/>
      </w:rPr>
      <w:t xml:space="preserve"> </w:t>
    </w:r>
    <w:r w:rsidR="00E260CF">
      <w:rPr>
        <w:rFonts w:ascii="Century Gothic" w:eastAsia="Times New Roman" w:hAnsi="Century Gothic" w:cs="Times New Roman"/>
        <w:lang w:val="cs-CZ" w:eastAsia="cs-CZ"/>
      </w:rPr>
      <w:t>maja</w:t>
    </w:r>
    <w:r w:rsidR="00BF0F8B">
      <w:rPr>
        <w:rFonts w:ascii="Century Gothic" w:eastAsia="Times New Roman" w:hAnsi="Century Gothic" w:cs="Times New Roman"/>
        <w:lang w:val="cs-CZ" w:eastAsia="cs-CZ"/>
      </w:rPr>
      <w:t xml:space="preserve"> 2021</w:t>
    </w:r>
    <w:r w:rsidRPr="00AA17CA">
      <w:rPr>
        <w:rFonts w:ascii="Century Gothic" w:eastAsia="Times New Roman" w:hAnsi="Century Gothic" w:cs="Times New Roman"/>
        <w:lang w:val="cs-CZ" w:eastAsia="cs-CZ"/>
      </w:rPr>
      <w:t xml:space="preserve"> r. </w:t>
    </w:r>
    <w:r w:rsidRPr="00AA17CA">
      <w:rPr>
        <w:rFonts w:ascii="Century Gothic" w:eastAsia="Times New Roman" w:hAnsi="Century Gothic" w:cs="Times New Roman"/>
        <w:lang w:val="cs-CZ" w:eastAsia="cs-CZ"/>
      </w:rPr>
      <w:tab/>
    </w:r>
  </w:p>
  <w:p w14:paraId="4B0FFB88" w14:textId="77777777" w:rsidR="003B56EF" w:rsidRPr="00AA17CA" w:rsidRDefault="003B56EF" w:rsidP="003B56E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Arial Unicode MS"/>
        <w:sz w:val="24"/>
        <w:szCs w:val="24"/>
        <w:lang w:val="cs-CZ" w:eastAsia="ko-KR"/>
      </w:rPr>
    </w:pPr>
  </w:p>
  <w:p w14:paraId="3F316C0B" w14:textId="77777777" w:rsidR="003B56EF" w:rsidRDefault="003B56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/>
        <w:b/>
        <w:color w:val="0D0D0D"/>
        <w:sz w:val="20"/>
        <w:szCs w:val="22"/>
        <w:lang w:val="pl-PL"/>
      </w:rPr>
    </w:lvl>
  </w:abstractNum>
  <w:abstractNum w:abstractNumId="1" w15:restartNumberingAfterBreak="0">
    <w:nsid w:val="2BD419D8"/>
    <w:multiLevelType w:val="hybridMultilevel"/>
    <w:tmpl w:val="54827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3C0D"/>
    <w:multiLevelType w:val="hybridMultilevel"/>
    <w:tmpl w:val="615EA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EF"/>
    <w:rsid w:val="0000120D"/>
    <w:rsid w:val="00005E2A"/>
    <w:rsid w:val="0001181C"/>
    <w:rsid w:val="0001258C"/>
    <w:rsid w:val="0001468D"/>
    <w:rsid w:val="00017F02"/>
    <w:rsid w:val="00043D3C"/>
    <w:rsid w:val="00051E6B"/>
    <w:rsid w:val="00056630"/>
    <w:rsid w:val="00063678"/>
    <w:rsid w:val="00082D19"/>
    <w:rsid w:val="00084105"/>
    <w:rsid w:val="0009124C"/>
    <w:rsid w:val="000920FB"/>
    <w:rsid w:val="00094934"/>
    <w:rsid w:val="000A0C89"/>
    <w:rsid w:val="000C004E"/>
    <w:rsid w:val="000C5F3F"/>
    <w:rsid w:val="000C5FAE"/>
    <w:rsid w:val="000F15C6"/>
    <w:rsid w:val="000F2CD8"/>
    <w:rsid w:val="00110D2E"/>
    <w:rsid w:val="00114713"/>
    <w:rsid w:val="0011776E"/>
    <w:rsid w:val="001200AF"/>
    <w:rsid w:val="00121D82"/>
    <w:rsid w:val="001226E9"/>
    <w:rsid w:val="00143027"/>
    <w:rsid w:val="00143BD7"/>
    <w:rsid w:val="00145A3E"/>
    <w:rsid w:val="00147340"/>
    <w:rsid w:val="0015589D"/>
    <w:rsid w:val="001573DC"/>
    <w:rsid w:val="0016297C"/>
    <w:rsid w:val="00165BC5"/>
    <w:rsid w:val="001A6646"/>
    <w:rsid w:val="001A7E9B"/>
    <w:rsid w:val="001D7A62"/>
    <w:rsid w:val="001F6E6F"/>
    <w:rsid w:val="00212A6C"/>
    <w:rsid w:val="00235E9F"/>
    <w:rsid w:val="0024451D"/>
    <w:rsid w:val="00246ED9"/>
    <w:rsid w:val="00265C37"/>
    <w:rsid w:val="002850F7"/>
    <w:rsid w:val="00286D72"/>
    <w:rsid w:val="002A0319"/>
    <w:rsid w:val="002A04C7"/>
    <w:rsid w:val="002A5FE5"/>
    <w:rsid w:val="002B14F7"/>
    <w:rsid w:val="002C2AE4"/>
    <w:rsid w:val="002C346E"/>
    <w:rsid w:val="002C7F29"/>
    <w:rsid w:val="002D0E0B"/>
    <w:rsid w:val="002D3F85"/>
    <w:rsid w:val="002E0F01"/>
    <w:rsid w:val="002F1954"/>
    <w:rsid w:val="002F4136"/>
    <w:rsid w:val="002F449E"/>
    <w:rsid w:val="002F4548"/>
    <w:rsid w:val="00305CBB"/>
    <w:rsid w:val="00307CD3"/>
    <w:rsid w:val="00312CED"/>
    <w:rsid w:val="003218BE"/>
    <w:rsid w:val="00342305"/>
    <w:rsid w:val="00343CBA"/>
    <w:rsid w:val="00345B62"/>
    <w:rsid w:val="00356A0E"/>
    <w:rsid w:val="00357887"/>
    <w:rsid w:val="00360D19"/>
    <w:rsid w:val="00364B59"/>
    <w:rsid w:val="00374139"/>
    <w:rsid w:val="00394317"/>
    <w:rsid w:val="00397E13"/>
    <w:rsid w:val="003A00C7"/>
    <w:rsid w:val="003B22D1"/>
    <w:rsid w:val="003B56C0"/>
    <w:rsid w:val="003B56EF"/>
    <w:rsid w:val="003C7632"/>
    <w:rsid w:val="003C7EA9"/>
    <w:rsid w:val="003D5A8B"/>
    <w:rsid w:val="003D7F66"/>
    <w:rsid w:val="004025D0"/>
    <w:rsid w:val="00416E11"/>
    <w:rsid w:val="00432D61"/>
    <w:rsid w:val="00437132"/>
    <w:rsid w:val="0044278A"/>
    <w:rsid w:val="00452696"/>
    <w:rsid w:val="004609A8"/>
    <w:rsid w:val="00473786"/>
    <w:rsid w:val="00473DF5"/>
    <w:rsid w:val="00475E39"/>
    <w:rsid w:val="0049259C"/>
    <w:rsid w:val="00497331"/>
    <w:rsid w:val="004C02B1"/>
    <w:rsid w:val="004C0E15"/>
    <w:rsid w:val="004C237E"/>
    <w:rsid w:val="004C6317"/>
    <w:rsid w:val="004C674A"/>
    <w:rsid w:val="004C74D2"/>
    <w:rsid w:val="004D3EE2"/>
    <w:rsid w:val="004D6C11"/>
    <w:rsid w:val="004E3A3A"/>
    <w:rsid w:val="004F3997"/>
    <w:rsid w:val="00503E70"/>
    <w:rsid w:val="00505AC4"/>
    <w:rsid w:val="005318FE"/>
    <w:rsid w:val="00541D6D"/>
    <w:rsid w:val="00543203"/>
    <w:rsid w:val="005560BF"/>
    <w:rsid w:val="00557784"/>
    <w:rsid w:val="00592B8F"/>
    <w:rsid w:val="00595141"/>
    <w:rsid w:val="005A13DD"/>
    <w:rsid w:val="005A2438"/>
    <w:rsid w:val="005C4CBD"/>
    <w:rsid w:val="005D3A9E"/>
    <w:rsid w:val="005D5B73"/>
    <w:rsid w:val="005E528C"/>
    <w:rsid w:val="005F2D67"/>
    <w:rsid w:val="005F6775"/>
    <w:rsid w:val="00607725"/>
    <w:rsid w:val="006119AC"/>
    <w:rsid w:val="0061780C"/>
    <w:rsid w:val="006320C8"/>
    <w:rsid w:val="00633C8A"/>
    <w:rsid w:val="006619BF"/>
    <w:rsid w:val="00684325"/>
    <w:rsid w:val="00695B17"/>
    <w:rsid w:val="006B1803"/>
    <w:rsid w:val="006B29A6"/>
    <w:rsid w:val="006B4684"/>
    <w:rsid w:val="006B50DC"/>
    <w:rsid w:val="006C1880"/>
    <w:rsid w:val="006C25BD"/>
    <w:rsid w:val="006D4EB2"/>
    <w:rsid w:val="006E06B6"/>
    <w:rsid w:val="006E296A"/>
    <w:rsid w:val="006E4965"/>
    <w:rsid w:val="006F669E"/>
    <w:rsid w:val="006F6EE8"/>
    <w:rsid w:val="007013F0"/>
    <w:rsid w:val="00711CF2"/>
    <w:rsid w:val="00713A9D"/>
    <w:rsid w:val="00715A47"/>
    <w:rsid w:val="00717CFE"/>
    <w:rsid w:val="007229BB"/>
    <w:rsid w:val="007246CB"/>
    <w:rsid w:val="00725FDB"/>
    <w:rsid w:val="007349DC"/>
    <w:rsid w:val="0073796C"/>
    <w:rsid w:val="007476D9"/>
    <w:rsid w:val="007A7C79"/>
    <w:rsid w:val="007B5C40"/>
    <w:rsid w:val="007C035F"/>
    <w:rsid w:val="007C269D"/>
    <w:rsid w:val="007D7A51"/>
    <w:rsid w:val="00830242"/>
    <w:rsid w:val="0083045F"/>
    <w:rsid w:val="00831D50"/>
    <w:rsid w:val="0083406E"/>
    <w:rsid w:val="00837329"/>
    <w:rsid w:val="008403E7"/>
    <w:rsid w:val="00843C61"/>
    <w:rsid w:val="0084440A"/>
    <w:rsid w:val="00846BE9"/>
    <w:rsid w:val="008710F4"/>
    <w:rsid w:val="008905B8"/>
    <w:rsid w:val="008A647A"/>
    <w:rsid w:val="008A7F15"/>
    <w:rsid w:val="008B6346"/>
    <w:rsid w:val="008C7D87"/>
    <w:rsid w:val="008F0F44"/>
    <w:rsid w:val="0090136F"/>
    <w:rsid w:val="009075E8"/>
    <w:rsid w:val="009149E0"/>
    <w:rsid w:val="00921ADC"/>
    <w:rsid w:val="00922142"/>
    <w:rsid w:val="0092287D"/>
    <w:rsid w:val="0092570C"/>
    <w:rsid w:val="0093357D"/>
    <w:rsid w:val="009336C0"/>
    <w:rsid w:val="00940037"/>
    <w:rsid w:val="00952FD3"/>
    <w:rsid w:val="0097410E"/>
    <w:rsid w:val="0097543C"/>
    <w:rsid w:val="009819DA"/>
    <w:rsid w:val="009A14E9"/>
    <w:rsid w:val="009B251C"/>
    <w:rsid w:val="009B2D97"/>
    <w:rsid w:val="009C33F0"/>
    <w:rsid w:val="009D22F0"/>
    <w:rsid w:val="009E05EC"/>
    <w:rsid w:val="009E29F0"/>
    <w:rsid w:val="009F23FC"/>
    <w:rsid w:val="00A01727"/>
    <w:rsid w:val="00A168FF"/>
    <w:rsid w:val="00A2353B"/>
    <w:rsid w:val="00A33DC8"/>
    <w:rsid w:val="00A35373"/>
    <w:rsid w:val="00A37A9D"/>
    <w:rsid w:val="00A4257D"/>
    <w:rsid w:val="00A561D6"/>
    <w:rsid w:val="00A75E33"/>
    <w:rsid w:val="00A90C49"/>
    <w:rsid w:val="00A92E6D"/>
    <w:rsid w:val="00AA41B9"/>
    <w:rsid w:val="00AA4C08"/>
    <w:rsid w:val="00AA5CE5"/>
    <w:rsid w:val="00AB0008"/>
    <w:rsid w:val="00AE2E97"/>
    <w:rsid w:val="00AE60AA"/>
    <w:rsid w:val="00AE6BBD"/>
    <w:rsid w:val="00AF00B9"/>
    <w:rsid w:val="00AF0524"/>
    <w:rsid w:val="00AF12D4"/>
    <w:rsid w:val="00B1307A"/>
    <w:rsid w:val="00B130D7"/>
    <w:rsid w:val="00B14B5E"/>
    <w:rsid w:val="00B24795"/>
    <w:rsid w:val="00B262BA"/>
    <w:rsid w:val="00B34FA7"/>
    <w:rsid w:val="00B37685"/>
    <w:rsid w:val="00B41CAE"/>
    <w:rsid w:val="00B4497F"/>
    <w:rsid w:val="00B51507"/>
    <w:rsid w:val="00B5681E"/>
    <w:rsid w:val="00B63BE5"/>
    <w:rsid w:val="00B72B3D"/>
    <w:rsid w:val="00B74356"/>
    <w:rsid w:val="00B747A3"/>
    <w:rsid w:val="00B82401"/>
    <w:rsid w:val="00B91794"/>
    <w:rsid w:val="00B928D8"/>
    <w:rsid w:val="00BA0FB4"/>
    <w:rsid w:val="00BA18F5"/>
    <w:rsid w:val="00BA620C"/>
    <w:rsid w:val="00BA7C6A"/>
    <w:rsid w:val="00BD0CA4"/>
    <w:rsid w:val="00BF0F8B"/>
    <w:rsid w:val="00C003C1"/>
    <w:rsid w:val="00C32E6D"/>
    <w:rsid w:val="00C37220"/>
    <w:rsid w:val="00C4044B"/>
    <w:rsid w:val="00C40E46"/>
    <w:rsid w:val="00C504B7"/>
    <w:rsid w:val="00C61A0A"/>
    <w:rsid w:val="00C72E33"/>
    <w:rsid w:val="00C8127A"/>
    <w:rsid w:val="00C82004"/>
    <w:rsid w:val="00C87A4C"/>
    <w:rsid w:val="00C93C51"/>
    <w:rsid w:val="00CA387F"/>
    <w:rsid w:val="00CA3A8A"/>
    <w:rsid w:val="00CD07F4"/>
    <w:rsid w:val="00CF74EF"/>
    <w:rsid w:val="00D122F6"/>
    <w:rsid w:val="00D2196C"/>
    <w:rsid w:val="00D36A44"/>
    <w:rsid w:val="00D42C2A"/>
    <w:rsid w:val="00D4686F"/>
    <w:rsid w:val="00D502A9"/>
    <w:rsid w:val="00D72485"/>
    <w:rsid w:val="00D74360"/>
    <w:rsid w:val="00D83D2D"/>
    <w:rsid w:val="00D86185"/>
    <w:rsid w:val="00D9022F"/>
    <w:rsid w:val="00D917F6"/>
    <w:rsid w:val="00DA67F1"/>
    <w:rsid w:val="00DB323D"/>
    <w:rsid w:val="00DC279A"/>
    <w:rsid w:val="00DC5737"/>
    <w:rsid w:val="00DE33DC"/>
    <w:rsid w:val="00DE453B"/>
    <w:rsid w:val="00DE52FA"/>
    <w:rsid w:val="00E00DE4"/>
    <w:rsid w:val="00E127BB"/>
    <w:rsid w:val="00E12B23"/>
    <w:rsid w:val="00E15A33"/>
    <w:rsid w:val="00E17503"/>
    <w:rsid w:val="00E2073C"/>
    <w:rsid w:val="00E220BE"/>
    <w:rsid w:val="00E23EC6"/>
    <w:rsid w:val="00E260CF"/>
    <w:rsid w:val="00E26CB8"/>
    <w:rsid w:val="00E30C47"/>
    <w:rsid w:val="00E355C0"/>
    <w:rsid w:val="00E35D4A"/>
    <w:rsid w:val="00E43F60"/>
    <w:rsid w:val="00E60022"/>
    <w:rsid w:val="00E671E7"/>
    <w:rsid w:val="00E75DA5"/>
    <w:rsid w:val="00E8068C"/>
    <w:rsid w:val="00E837AD"/>
    <w:rsid w:val="00E91729"/>
    <w:rsid w:val="00E948C0"/>
    <w:rsid w:val="00EC3236"/>
    <w:rsid w:val="00ED4087"/>
    <w:rsid w:val="00EE128E"/>
    <w:rsid w:val="00EE4179"/>
    <w:rsid w:val="00EE5410"/>
    <w:rsid w:val="00EE7FC9"/>
    <w:rsid w:val="00EF536F"/>
    <w:rsid w:val="00F0358D"/>
    <w:rsid w:val="00F07544"/>
    <w:rsid w:val="00F21408"/>
    <w:rsid w:val="00F3296E"/>
    <w:rsid w:val="00F547C7"/>
    <w:rsid w:val="00F70446"/>
    <w:rsid w:val="00F763FD"/>
    <w:rsid w:val="00F94C20"/>
    <w:rsid w:val="00FA6100"/>
    <w:rsid w:val="00FB7D59"/>
    <w:rsid w:val="00FC2ADD"/>
    <w:rsid w:val="00FD1D85"/>
    <w:rsid w:val="00FD200E"/>
    <w:rsid w:val="00FE183C"/>
    <w:rsid w:val="00FE25ED"/>
    <w:rsid w:val="00FE2AA3"/>
    <w:rsid w:val="00FE77ED"/>
    <w:rsid w:val="00FF2279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4A00"/>
  <w15:chartTrackingRefBased/>
  <w15:docId w15:val="{E86198E8-6034-425A-91E6-293960F2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6EF"/>
  </w:style>
  <w:style w:type="paragraph" w:styleId="Stopka">
    <w:name w:val="footer"/>
    <w:basedOn w:val="Normalny"/>
    <w:link w:val="StopkaZnak"/>
    <w:uiPriority w:val="99"/>
    <w:unhideWhenUsed/>
    <w:rsid w:val="003B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6EF"/>
  </w:style>
  <w:style w:type="character" w:styleId="Odwoaniedokomentarza">
    <w:name w:val="annotation reference"/>
    <w:basedOn w:val="Domylnaczcionkaakapitu"/>
    <w:uiPriority w:val="99"/>
    <w:semiHidden/>
    <w:unhideWhenUsed/>
    <w:rsid w:val="00364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B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B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46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0E0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C3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7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7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7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9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96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16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cen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ieszka.smuzewska@zoom-bs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C8F5-DE87-4186-B8A8-AF4DD165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782</Words>
  <Characters>4695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Iwasieczko</dc:creator>
  <cp:keywords/>
  <dc:description/>
  <cp:lastModifiedBy>Agnieszka Smużewska</cp:lastModifiedBy>
  <cp:revision>6</cp:revision>
  <dcterms:created xsi:type="dcterms:W3CDTF">2021-05-07T08:19:00Z</dcterms:created>
  <dcterms:modified xsi:type="dcterms:W3CDTF">2021-05-11T07:38:00Z</dcterms:modified>
</cp:coreProperties>
</file>